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28"/>
          <w:szCs w:val="28"/>
        </w:rPr>
        <w:t>附件：</w:t>
      </w:r>
    </w:p>
    <w:p>
      <w:pPr>
        <w:bidi w:val="0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１９９９－２００４年文书档案移交前规范化整改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  <w:t>项目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  <w:lang w:val="en-US" w:eastAsia="zh-CN"/>
        </w:rPr>
        <w:t>报价单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42"/>
        <w:gridCol w:w="5460"/>
        <w:gridCol w:w="2706"/>
        <w:gridCol w:w="1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43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档案数量</w:t>
            </w:r>
          </w:p>
        </w:tc>
        <w:tc>
          <w:tcPr>
            <w:tcW w:w="5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项目内容</w:t>
            </w:r>
          </w:p>
        </w:tc>
        <w:tc>
          <w:tcPr>
            <w:tcW w:w="27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价格（最高限价4950元）</w:t>
            </w:r>
          </w:p>
        </w:tc>
        <w:tc>
          <w:tcPr>
            <w:tcW w:w="1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3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1999-2001年文书档案按照传统方法整理（以卷为单位），共86盒711件；2002-2004年文书档案按照简化方法整理（以件为单位），共43盒702件。</w:t>
            </w:r>
          </w:p>
        </w:tc>
        <w:tc>
          <w:tcPr>
            <w:tcW w:w="5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2002-2004年（702件）六框归档章未标注页数，需补充完整；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对1999-2004年所有文书档案重新扫描和挂接，规范题名及扫描命名；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重新装订和制作归档目录；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刻录移交光盘。</w:t>
            </w:r>
          </w:p>
        </w:tc>
        <w:tc>
          <w:tcPr>
            <w:tcW w:w="27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365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98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地址：</w:t>
            </w:r>
          </w:p>
        </w:tc>
        <w:tc>
          <w:tcPr>
            <w:tcW w:w="38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8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负责人签字：</w:t>
            </w:r>
          </w:p>
        </w:tc>
        <w:tc>
          <w:tcPr>
            <w:tcW w:w="38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供应商（公章）</w:t>
            </w:r>
          </w:p>
        </w:tc>
      </w:tr>
    </w:tbl>
    <w:p/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DEAD82"/>
    <w:multiLevelType w:val="singleLevel"/>
    <w:tmpl w:val="BCDEAD8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93EE5E5"/>
    <w:rsid w:val="E93EE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2024-10-25T17:42:00Z</dcterms:created>
  <dc:creator>谢梦薇</dc:creator>
  <cp:lastModifiedBy>谢梦薇</cp:lastModifiedBy>
  <dcterms:modified xsi:type="dcterms:W3CDTF">2024-10-25T17:42:47Z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