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Times New Roman" w:hAnsi="Times New Roman" w:eastAsia="仿宋_GB2312" w:cs="Times New Roman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报价单</w:t>
      </w:r>
    </w:p>
    <w:tbl>
      <w:tblPr>
        <w:tblStyle w:val="5"/>
        <w:tblpPr w:leftFromText="180" w:rightFromText="180" w:vertAnchor="text" w:horzAnchor="page" w:tblpX="1530" w:tblpY="92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7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2024襄阳市海智专家襄阳行活动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采购内容</w:t>
            </w:r>
          </w:p>
        </w:tc>
        <w:tc>
          <w:tcPr>
            <w:tcW w:w="7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.围绕光电产业，供应商负责策划及实施2024海智专家襄阳行活动；2.参加人数80人左右，邀请光电领域海智专家3人次及以上来襄开展对接交流，合作签约3项，重点推介3个及以上优秀海智项目，组织海智专家现场调研对接5个及以上企业，召开1次海智工作座谈会；3.聘请具有主持科创相关活动经验的主持人1名；4.做好活动现场布置、专业设备租赁及各项设备的检查、调试工作，设计并制作相关活动资料；5.负责活动现场服务及接待工作，做好活动当天的组织、引导等工作；配合采购方开展技术交流、现场参观等活动；负责跟踪活动进程，实时收集专家及采购方反馈意见；负责活动期间组织调配，车辆保障及现场沟通协调、收集信息等服务工作；6.通过信息化手段做好媒体宣传；7.在活动举办后15日内提交活动总结报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具体报价（最高限价</w:t>
            </w:r>
            <w:r>
              <w:rPr>
                <w:rFonts w:hint="default" w:ascii="方正黑体_GBK" w:hAnsi="方正黑体_GBK" w:eastAsia="方正黑体_GBK" w:cs="方正黑体_GBK"/>
                <w:sz w:val="32"/>
                <w:szCs w:val="32"/>
                <w:vertAlign w:val="baseline"/>
                <w:lang w:val="en" w:eastAsia="zh-CN"/>
              </w:rPr>
              <w:t>5</w:t>
            </w: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万元）</w:t>
            </w:r>
          </w:p>
        </w:tc>
        <w:tc>
          <w:tcPr>
            <w:tcW w:w="7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917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单位名称：（盖章）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负责人（签字）：　　　　　　　　　联系电话：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2098" w:right="1417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FCED5C"/>
    <w:rsid w:val="66FCED5C"/>
    <w:rsid w:val="FFAFA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2024-08-01T11:31:00Z</dcterms:created>
  <dc:creator>李博</dc:creator>
  <cp:lastModifiedBy>李博</cp:lastModifiedBy>
  <dcterms:modified xsi:type="dcterms:W3CDTF">2024-08-01T11:33:33Z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